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696"/>
      </w:tblGrid>
      <w:tr w:rsidR="0089666A" w14:paraId="09F3ABFE" w14:textId="77777777" w:rsidTr="0089666A">
        <w:tc>
          <w:tcPr>
            <w:tcW w:w="2376" w:type="dxa"/>
            <w:vAlign w:val="center"/>
          </w:tcPr>
          <w:p w14:paraId="67FB75D8" w14:textId="77777777" w:rsidR="0089666A" w:rsidRDefault="0089666A" w:rsidP="008966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D05DCD" wp14:editId="3BAB2EA8">
                  <wp:extent cx="1362459" cy="1341123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459" cy="1341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  <w:vAlign w:val="center"/>
          </w:tcPr>
          <w:p w14:paraId="34E4C66C" w14:textId="77777777" w:rsidR="0089666A" w:rsidRPr="0089666A" w:rsidRDefault="0089666A" w:rsidP="0089666A">
            <w:pPr>
              <w:rPr>
                <w:b/>
                <w:sz w:val="24"/>
              </w:rPr>
            </w:pPr>
            <w:r w:rsidRPr="0089666A">
              <w:rPr>
                <w:b/>
                <w:sz w:val="24"/>
              </w:rPr>
              <w:t>OBČINA DOL PRI LJUBLJANI</w:t>
            </w:r>
          </w:p>
          <w:p w14:paraId="479CE6BD" w14:textId="77777777" w:rsidR="0089666A" w:rsidRDefault="0089666A" w:rsidP="0089666A">
            <w:pPr>
              <w:rPr>
                <w:b/>
                <w:sz w:val="24"/>
              </w:rPr>
            </w:pPr>
            <w:r w:rsidRPr="0089666A">
              <w:rPr>
                <w:b/>
                <w:sz w:val="24"/>
              </w:rPr>
              <w:t>VAŠKI ODBOR ZA NASELJA</w:t>
            </w:r>
          </w:p>
          <w:p w14:paraId="694CC1C4" w14:textId="77777777" w:rsidR="0089666A" w:rsidRDefault="0089666A" w:rsidP="0089666A">
            <w:pPr>
              <w:rPr>
                <w:b/>
                <w:sz w:val="24"/>
              </w:rPr>
            </w:pPr>
            <w:r w:rsidRPr="0089666A">
              <w:rPr>
                <w:b/>
                <w:sz w:val="24"/>
              </w:rPr>
              <w:t>DOLSKO, OSREDKE, PETELINJE, KAMNICA, VINJE</w:t>
            </w:r>
          </w:p>
          <w:p w14:paraId="40B265A1" w14:textId="77777777" w:rsidR="0089666A" w:rsidRDefault="0089666A" w:rsidP="0089666A">
            <w:r>
              <w:t>Dol pri Ljubljani 1, 1262 Dol pri Ljubljani</w:t>
            </w:r>
          </w:p>
          <w:p w14:paraId="16F19AC5" w14:textId="77777777" w:rsidR="0089666A" w:rsidRDefault="0089666A" w:rsidP="0089666A">
            <w:r>
              <w:t>Telefon: 01/5303 240, faks: 01/5303 249</w:t>
            </w:r>
          </w:p>
          <w:p w14:paraId="4DCB43C5" w14:textId="77777777" w:rsidR="0089666A" w:rsidRDefault="0089666A" w:rsidP="0089666A">
            <w:r>
              <w:t>e-pošta: obcina@dol.si</w:t>
            </w:r>
          </w:p>
        </w:tc>
      </w:tr>
    </w:tbl>
    <w:p w14:paraId="6419F76D" w14:textId="77777777" w:rsidR="0089666A" w:rsidRDefault="0089666A"/>
    <w:p w14:paraId="53360DBA" w14:textId="374D6D44" w:rsidR="0089666A" w:rsidRPr="0089666A" w:rsidRDefault="007F6CE0" w:rsidP="0089666A">
      <w:pPr>
        <w:jc w:val="center"/>
        <w:rPr>
          <w:b/>
        </w:rPr>
      </w:pPr>
      <w:r w:rsidRPr="0089666A">
        <w:rPr>
          <w:b/>
        </w:rPr>
        <w:t xml:space="preserve">ZAPISNIK </w:t>
      </w:r>
      <w:r w:rsidR="005F120F">
        <w:rPr>
          <w:b/>
        </w:rPr>
        <w:t>5</w:t>
      </w:r>
      <w:r w:rsidR="0089666A" w:rsidRPr="0089666A">
        <w:rPr>
          <w:b/>
        </w:rPr>
        <w:t>. SEJE VAŠK</w:t>
      </w:r>
      <w:r w:rsidR="0089666A">
        <w:rPr>
          <w:b/>
        </w:rPr>
        <w:t>EGA</w:t>
      </w:r>
      <w:r w:rsidR="0089666A" w:rsidRPr="0089666A">
        <w:rPr>
          <w:b/>
        </w:rPr>
        <w:t xml:space="preserve"> ODBOR</w:t>
      </w:r>
      <w:r w:rsidR="0089666A">
        <w:rPr>
          <w:b/>
        </w:rPr>
        <w:t>A</w:t>
      </w:r>
    </w:p>
    <w:p w14:paraId="5BB97F72" w14:textId="77777777" w:rsidR="0089666A" w:rsidRDefault="007F6CE0" w:rsidP="0089666A">
      <w:pPr>
        <w:jc w:val="center"/>
        <w:rPr>
          <w:b/>
        </w:rPr>
      </w:pPr>
      <w:r w:rsidRPr="0089666A">
        <w:rPr>
          <w:b/>
        </w:rPr>
        <w:t>Dolsko, Osredke, Petelinje, Kamnica</w:t>
      </w:r>
      <w:r w:rsidR="0089666A">
        <w:rPr>
          <w:b/>
        </w:rPr>
        <w:t xml:space="preserve"> in</w:t>
      </w:r>
      <w:r w:rsidRPr="0089666A">
        <w:rPr>
          <w:b/>
        </w:rPr>
        <w:t xml:space="preserve"> Vinje</w:t>
      </w:r>
    </w:p>
    <w:p w14:paraId="765B2150" w14:textId="09E96E1B" w:rsidR="007F6CE0" w:rsidRPr="0089666A" w:rsidRDefault="007F6CE0" w:rsidP="0089666A">
      <w:pPr>
        <w:jc w:val="center"/>
        <w:rPr>
          <w:b/>
        </w:rPr>
      </w:pPr>
      <w:r w:rsidRPr="0089666A">
        <w:rPr>
          <w:b/>
        </w:rPr>
        <w:t xml:space="preserve"> ki je </w:t>
      </w:r>
      <w:r w:rsidR="001A7EDF">
        <w:rPr>
          <w:b/>
        </w:rPr>
        <w:t xml:space="preserve">potekala </w:t>
      </w:r>
      <w:r w:rsidR="005F120F">
        <w:rPr>
          <w:b/>
        </w:rPr>
        <w:t>13</w:t>
      </w:r>
      <w:r w:rsidR="00D237CB">
        <w:rPr>
          <w:b/>
        </w:rPr>
        <w:t xml:space="preserve">. </w:t>
      </w:r>
      <w:r w:rsidR="005F120F">
        <w:rPr>
          <w:b/>
        </w:rPr>
        <w:t>oktobra</w:t>
      </w:r>
      <w:r w:rsidR="00D237CB">
        <w:rPr>
          <w:b/>
        </w:rPr>
        <w:t xml:space="preserve"> med </w:t>
      </w:r>
      <w:r w:rsidR="005F120F">
        <w:rPr>
          <w:b/>
        </w:rPr>
        <w:t>19</w:t>
      </w:r>
      <w:r w:rsidR="00D237CB">
        <w:rPr>
          <w:b/>
        </w:rPr>
        <w:t>.00 in 2</w:t>
      </w:r>
      <w:r w:rsidR="005F120F">
        <w:rPr>
          <w:b/>
        </w:rPr>
        <w:t>0</w:t>
      </w:r>
      <w:r w:rsidR="00D237CB">
        <w:rPr>
          <w:b/>
        </w:rPr>
        <w:t>.30</w:t>
      </w:r>
      <w:r w:rsidR="001A7EDF" w:rsidRPr="001A7EDF">
        <w:rPr>
          <w:b/>
        </w:rPr>
        <w:t xml:space="preserve"> </w:t>
      </w:r>
      <w:r w:rsidR="005F120F">
        <w:rPr>
          <w:b/>
        </w:rPr>
        <w:t>uro</w:t>
      </w:r>
      <w:r w:rsidRPr="0089666A">
        <w:rPr>
          <w:b/>
        </w:rPr>
        <w:t>.</w:t>
      </w:r>
    </w:p>
    <w:p w14:paraId="2119DF4B" w14:textId="77777777" w:rsidR="0089666A" w:rsidRDefault="0089666A"/>
    <w:p w14:paraId="550D7A81" w14:textId="77777777" w:rsidR="005F120F" w:rsidRDefault="005F120F" w:rsidP="00290FE4"/>
    <w:p w14:paraId="7C05DA10" w14:textId="77777777" w:rsidR="005F120F" w:rsidRDefault="005F120F" w:rsidP="00290FE4"/>
    <w:p w14:paraId="58D2C2CD" w14:textId="77777777" w:rsidR="005F120F" w:rsidRDefault="005F120F" w:rsidP="005F120F">
      <w:r>
        <w:t>Prisotni člani VO: Tomaž Grad, Igor Lapič, Jernej Rebolj, Tomaž Lunar, Matija Pustotnik, Nataša Rotar,</w:t>
      </w:r>
    </w:p>
    <w:p w14:paraId="2888178D" w14:textId="4E4E0BCD" w:rsidR="005F120F" w:rsidRDefault="005F120F" w:rsidP="005F120F">
      <w:r>
        <w:t xml:space="preserve">In vabljeni: župan g. Željko Savič, podžupanja ga. Nika Rovšek in občinski svetniki g. Drago </w:t>
      </w:r>
      <w:proofErr w:type="spellStart"/>
      <w:r>
        <w:t>Sredenšek</w:t>
      </w:r>
      <w:proofErr w:type="spellEnd"/>
      <w:r>
        <w:t xml:space="preserve"> in ga. </w:t>
      </w:r>
      <w:proofErr w:type="spellStart"/>
      <w:r>
        <w:t>Sladžana</w:t>
      </w:r>
      <w:proofErr w:type="spellEnd"/>
      <w:r>
        <w:t xml:space="preserve"> Brodnik.</w:t>
      </w:r>
    </w:p>
    <w:p w14:paraId="07FC5757" w14:textId="77777777" w:rsidR="005F120F" w:rsidRDefault="005F120F" w:rsidP="005F120F">
      <w:r>
        <w:t>g. Anže Sasso se je opravičil.</w:t>
      </w:r>
    </w:p>
    <w:p w14:paraId="76AF5348" w14:textId="426BF222" w:rsidR="005F120F" w:rsidRDefault="005F120F" w:rsidP="005F120F"/>
    <w:p w14:paraId="7E77B1EC" w14:textId="77777777" w:rsidR="005F120F" w:rsidRPr="0089666A" w:rsidRDefault="005F120F" w:rsidP="005F120F">
      <w:pPr>
        <w:pStyle w:val="Naslov1"/>
      </w:pPr>
      <w:r w:rsidRPr="0089666A">
        <w:t>DNEVNI RED</w:t>
      </w:r>
    </w:p>
    <w:p w14:paraId="3F1AF794" w14:textId="77777777" w:rsidR="005F120F" w:rsidRDefault="005F120F" w:rsidP="005F120F">
      <w:r>
        <w:t>Sprejet je bil predlagani dnevni red in sicer:</w:t>
      </w:r>
    </w:p>
    <w:p w14:paraId="0898BD83" w14:textId="6009E406" w:rsidR="005F120F" w:rsidRDefault="005F120F" w:rsidP="005F120F">
      <w:pPr>
        <w:pStyle w:val="Odstavekseznama"/>
        <w:numPr>
          <w:ilvl w:val="0"/>
          <w:numId w:val="21"/>
        </w:numPr>
        <w:spacing w:after="200" w:line="276" w:lineRule="auto"/>
      </w:pPr>
      <w:r>
        <w:t>Pregled sklepov prejšnje seje,</w:t>
      </w:r>
    </w:p>
    <w:p w14:paraId="66AB0EC6" w14:textId="767D9464" w:rsidR="005F120F" w:rsidRDefault="005F120F" w:rsidP="005F120F">
      <w:pPr>
        <w:pStyle w:val="Odstavekseznama"/>
        <w:numPr>
          <w:ilvl w:val="0"/>
          <w:numId w:val="21"/>
        </w:numPr>
        <w:spacing w:after="200" w:line="276" w:lineRule="auto"/>
      </w:pPr>
      <w:r>
        <w:t>Participativni proračun,</w:t>
      </w:r>
    </w:p>
    <w:p w14:paraId="4B62A702" w14:textId="4AB2B4D7" w:rsidR="005F120F" w:rsidRDefault="005F120F" w:rsidP="005F120F">
      <w:pPr>
        <w:pStyle w:val="Odstavekseznama"/>
        <w:numPr>
          <w:ilvl w:val="0"/>
          <w:numId w:val="21"/>
        </w:numPr>
        <w:spacing w:after="200" w:line="276" w:lineRule="auto"/>
      </w:pPr>
      <w:r>
        <w:t>Razno.</w:t>
      </w:r>
    </w:p>
    <w:p w14:paraId="22ADD2D7" w14:textId="77777777" w:rsidR="005F120F" w:rsidRDefault="005F120F" w:rsidP="005F120F">
      <w:pPr>
        <w:pStyle w:val="Naslov1"/>
      </w:pPr>
      <w:r>
        <w:t>Ad 1</w:t>
      </w:r>
    </w:p>
    <w:p w14:paraId="017E5727" w14:textId="23278F37" w:rsidR="005F120F" w:rsidRDefault="005F120F" w:rsidP="005F120F">
      <w:r>
        <w:t>Na naše predloge in pobude, smo dobili odgovor občine in sicer:</w:t>
      </w:r>
    </w:p>
    <w:p w14:paraId="0D1E0229" w14:textId="3D84CC40" w:rsidR="005F120F" w:rsidRDefault="005F120F" w:rsidP="00FE125A">
      <w:pPr>
        <w:pStyle w:val="Odstavekseznama"/>
        <w:numPr>
          <w:ilvl w:val="0"/>
          <w:numId w:val="22"/>
        </w:numPr>
      </w:pPr>
      <w:r>
        <w:t>Postavitev ograje pri Jemčevem znamenju je z izvajalcem že dogovorjena, pogodba je v fazi podpisovanja.</w:t>
      </w:r>
    </w:p>
    <w:p w14:paraId="637FB9A3" w14:textId="77777777" w:rsidR="005F120F" w:rsidRDefault="005F120F" w:rsidP="00FF7C33">
      <w:pPr>
        <w:pStyle w:val="Odstavekseznama"/>
        <w:numPr>
          <w:ilvl w:val="0"/>
          <w:numId w:val="22"/>
        </w:numPr>
      </w:pPr>
      <w:r>
        <w:t>Postavitev javne razsvetljave v Vinjah je z izvajalcem že dogovorjena, pogodba je v podpisovanju.</w:t>
      </w:r>
    </w:p>
    <w:p w14:paraId="398F6A99" w14:textId="77777777" w:rsidR="005F120F" w:rsidRDefault="005F120F" w:rsidP="005F120F">
      <w:pPr>
        <w:pStyle w:val="Odstavekseznama"/>
        <w:numPr>
          <w:ilvl w:val="0"/>
          <w:numId w:val="22"/>
        </w:numPr>
      </w:pPr>
      <w:r>
        <w:t>Postavitev avtobusne postaje v Vinjah je predvidena skupaj z ureditvijo ceste Osredke-Hrib. Javno naročilo je v teku. Tretjina proračunskih sredstev je predvidena v letošnjem proračunu, dve tretjini pa v naslednjem letu. Začetek gradbenih del je načrtno zamaknjeno v marec 2022, zaradi vpliva nizkih temperatur na kvaliteto asfalterskih del.</w:t>
      </w:r>
    </w:p>
    <w:p w14:paraId="1A086610" w14:textId="77777777" w:rsidR="005F120F" w:rsidRDefault="005F120F" w:rsidP="00467FFE">
      <w:pPr>
        <w:pStyle w:val="Odstavekseznama"/>
        <w:numPr>
          <w:ilvl w:val="0"/>
          <w:numId w:val="22"/>
        </w:numPr>
      </w:pPr>
      <w:r>
        <w:t xml:space="preserve">Čiščenje jarkov in jaškov je bilo naročeno vzdrževalcu rednega vzdrževanja občinskih cest </w:t>
      </w:r>
      <w:proofErr w:type="spellStart"/>
      <w:r>
        <w:t>Šuštartrans</w:t>
      </w:r>
      <w:proofErr w:type="spellEnd"/>
      <w:r>
        <w:t>.</w:t>
      </w:r>
    </w:p>
    <w:p w14:paraId="49DD5B4D" w14:textId="641879E0" w:rsidR="005F120F" w:rsidRDefault="005F120F" w:rsidP="00467FFE">
      <w:pPr>
        <w:pStyle w:val="Odstavekseznama"/>
        <w:numPr>
          <w:ilvl w:val="0"/>
          <w:numId w:val="22"/>
        </w:numPr>
      </w:pPr>
      <w:r>
        <w:t>Ureditev sprehajalnih poti v Dolskem in Petelinjah je v teku. Prav tako so bile pogodbe za izvedbo del po participativnem proračunu že posredovana izvajalcu.</w:t>
      </w:r>
    </w:p>
    <w:p w14:paraId="4C048804" w14:textId="77777777" w:rsidR="005F120F" w:rsidRDefault="005F120F" w:rsidP="005F120F"/>
    <w:p w14:paraId="64E2E2A2" w14:textId="77777777" w:rsidR="005F120F" w:rsidRDefault="005F120F" w:rsidP="005F120F">
      <w:pPr>
        <w:pStyle w:val="Naslov1"/>
      </w:pPr>
      <w:r>
        <w:t>Ad 2</w:t>
      </w:r>
    </w:p>
    <w:p w14:paraId="6F1D513E" w14:textId="7C3590C8" w:rsidR="005F120F" w:rsidRDefault="005F120F" w:rsidP="005F120F">
      <w:r>
        <w:t>Za participativni proračun, se bo oddal predlog do datuma, kot je določeno. Predlogi bodo podani za ureditev športne ploščadi pri cerkvi v Vinjah</w:t>
      </w:r>
      <w:r w:rsidR="00A31435">
        <w:t xml:space="preserve"> (</w:t>
      </w:r>
      <w:hyperlink r:id="rId9" w:history="1">
        <w:r w:rsidR="00A31435" w:rsidRPr="00A31435">
          <w:rPr>
            <w:rStyle w:val="Hiperpovezava"/>
          </w:rPr>
          <w:t>lokacija</w:t>
        </w:r>
      </w:hyperlink>
      <w:r w:rsidR="00A31435">
        <w:t>)</w:t>
      </w:r>
      <w:r>
        <w:t xml:space="preserve"> ter za asfaltiranje ceste </w:t>
      </w:r>
      <w:r w:rsidR="00A31435">
        <w:t>med hiši Vinje 14 in Vinje 17 (</w:t>
      </w:r>
      <w:r>
        <w:t>pri Kokol</w:t>
      </w:r>
      <w:r w:rsidR="00A31435">
        <w:t xml:space="preserve">, </w:t>
      </w:r>
      <w:hyperlink r:id="rId10" w:history="1">
        <w:r w:rsidR="00A31435" w:rsidRPr="00A31435">
          <w:rPr>
            <w:rStyle w:val="Hiperpovezava"/>
          </w:rPr>
          <w:t>lokacija</w:t>
        </w:r>
      </w:hyperlink>
      <w:r w:rsidR="00A31435">
        <w:t>)</w:t>
      </w:r>
      <w:r>
        <w:t>.</w:t>
      </w:r>
      <w:r w:rsidR="00F17713">
        <w:t xml:space="preserve"> Za ograjo je predhodno potrebno kontaktirati g. župnika, za cesto pa velja, da se jo, kljub temu, da je občinska, sme asfaltirati (zaradi </w:t>
      </w:r>
      <w:proofErr w:type="spellStart"/>
      <w:r w:rsidR="00F17713">
        <w:t>večdesetletnega</w:t>
      </w:r>
      <w:proofErr w:type="spellEnd"/>
      <w:r w:rsidR="00F17713">
        <w:t xml:space="preserve"> stanja v naravi).</w:t>
      </w:r>
    </w:p>
    <w:p w14:paraId="52C2A30B" w14:textId="00DBE064" w:rsidR="005F120F" w:rsidRDefault="005F120F" w:rsidP="005F120F">
      <w:pPr>
        <w:pStyle w:val="Naslov1"/>
      </w:pPr>
      <w:r>
        <w:lastRenderedPageBreak/>
        <w:t>Ad 3</w:t>
      </w:r>
    </w:p>
    <w:p w14:paraId="10CEC180" w14:textId="77777777" w:rsidR="00A31435" w:rsidRDefault="005F120F" w:rsidP="00A31435">
      <w:r>
        <w:t xml:space="preserve">Pod to točko so bile podane </w:t>
      </w:r>
      <w:r w:rsidR="00A31435">
        <w:t>naslednje obrazložitve s strani župana:</w:t>
      </w:r>
    </w:p>
    <w:p w14:paraId="0FF5D004" w14:textId="0DA52DF3" w:rsidR="005F120F" w:rsidRDefault="00A31435" w:rsidP="00A31435">
      <w:pPr>
        <w:pStyle w:val="Odstavekseznama"/>
        <w:numPr>
          <w:ilvl w:val="0"/>
          <w:numId w:val="22"/>
        </w:numPr>
      </w:pPr>
      <w:r>
        <w:t>Saniral se je del p</w:t>
      </w:r>
      <w:r w:rsidR="005F120F">
        <w:t>ovezovalne pot v Vinjah</w:t>
      </w:r>
      <w:r>
        <w:t xml:space="preserve"> (pod </w:t>
      </w:r>
      <w:proofErr w:type="spellStart"/>
      <w:r>
        <w:t>Jernačem</w:t>
      </w:r>
      <w:proofErr w:type="spellEnd"/>
      <w:r>
        <w:t>) – uredilo se je odvodnjavanje in protiprašna zaščita,</w:t>
      </w:r>
    </w:p>
    <w:p w14:paraId="5CD6810F" w14:textId="253D832E" w:rsidR="00A31435" w:rsidRDefault="00A31435" w:rsidP="00111279">
      <w:pPr>
        <w:pStyle w:val="Odstavekseznama"/>
        <w:numPr>
          <w:ilvl w:val="0"/>
          <w:numId w:val="22"/>
        </w:numPr>
      </w:pPr>
      <w:r>
        <w:t>Izvedla se je r</w:t>
      </w:r>
      <w:r w:rsidR="005F120F">
        <w:t xml:space="preserve">ekonstrukcija </w:t>
      </w:r>
      <w:r>
        <w:t>mosta v Kamnici,</w:t>
      </w:r>
    </w:p>
    <w:p w14:paraId="19D2142A" w14:textId="6CE2A39A" w:rsidR="005F120F" w:rsidRDefault="00A31435" w:rsidP="00111279">
      <w:pPr>
        <w:pStyle w:val="Odstavekseznama"/>
        <w:numPr>
          <w:ilvl w:val="0"/>
          <w:numId w:val="22"/>
        </w:numPr>
      </w:pPr>
      <w:r>
        <w:t>izvaja se p</w:t>
      </w:r>
      <w:r w:rsidR="005F120F">
        <w:t>rometno urejevanje</w:t>
      </w:r>
      <w:r>
        <w:t xml:space="preserve"> – v prvi fazi se bo popisalo in uredilo vse prometne znake</w:t>
      </w:r>
      <w:r w:rsidR="005F120F">
        <w:t xml:space="preserve">, </w:t>
      </w:r>
      <w:r>
        <w:t xml:space="preserve">da bo </w:t>
      </w:r>
      <w:r w:rsidR="005F120F">
        <w:t xml:space="preserve">skladnost po </w:t>
      </w:r>
      <w:r>
        <w:t xml:space="preserve">celotni </w:t>
      </w:r>
      <w:r w:rsidR="005F120F">
        <w:t>občini</w:t>
      </w:r>
      <w:r>
        <w:t>, nato bo sledil pregled ustreznosti »ležečih policajev«</w:t>
      </w:r>
      <w:r w:rsidR="005F120F">
        <w:t xml:space="preserve"> </w:t>
      </w:r>
    </w:p>
    <w:p w14:paraId="6FC9F70A" w14:textId="2477DA85" w:rsidR="005F120F" w:rsidRDefault="00C04502" w:rsidP="00C04502">
      <w:pPr>
        <w:pStyle w:val="Odstavekseznama"/>
        <w:numPr>
          <w:ilvl w:val="0"/>
          <w:numId w:val="22"/>
        </w:numPr>
      </w:pPr>
      <w:r>
        <w:t>o</w:t>
      </w:r>
      <w:r w:rsidR="005F120F">
        <w:t xml:space="preserve">d 27.11 se bodo v </w:t>
      </w:r>
      <w:r>
        <w:t>K</w:t>
      </w:r>
      <w:r w:rsidR="005F120F">
        <w:t>ulturnem domu vrstili razni dogodki vsak vikend</w:t>
      </w:r>
      <w:r>
        <w:t>.</w:t>
      </w:r>
    </w:p>
    <w:p w14:paraId="0215C158" w14:textId="17A6FEF3" w:rsidR="00A31435" w:rsidRDefault="00A31435" w:rsidP="005F120F"/>
    <w:p w14:paraId="5BB431D4" w14:textId="3F1B59F5" w:rsidR="00A31435" w:rsidRPr="005F120F" w:rsidRDefault="00A31435" w:rsidP="00A31435">
      <w:r>
        <w:t>Ter podane naslednje pobude</w:t>
      </w:r>
      <w:r w:rsidR="00070B03">
        <w:t xml:space="preserve"> članov VO</w:t>
      </w:r>
      <w:r>
        <w:t>:</w:t>
      </w:r>
    </w:p>
    <w:p w14:paraId="4F1A3127" w14:textId="2506F49D" w:rsidR="00A31435" w:rsidRDefault="00A31435" w:rsidP="004E6D20">
      <w:pPr>
        <w:pStyle w:val="Odstavekseznama"/>
        <w:numPr>
          <w:ilvl w:val="0"/>
          <w:numId w:val="22"/>
        </w:numPr>
      </w:pPr>
      <w:r>
        <w:t>obnovi naj se napis na Kulturnem domu,</w:t>
      </w:r>
    </w:p>
    <w:p w14:paraId="7CC26A94" w14:textId="77777777" w:rsidR="00070B03" w:rsidRDefault="00C04502" w:rsidP="00001302">
      <w:pPr>
        <w:pStyle w:val="Odstavekseznama"/>
        <w:numPr>
          <w:ilvl w:val="0"/>
          <w:numId w:val="22"/>
        </w:numPr>
      </w:pPr>
      <w:r>
        <w:t>ležeči policaji – ponekod previsoki in neustrezni, oviran pretok vode</w:t>
      </w:r>
      <w:r w:rsidR="00070B03">
        <w:t>, zato naj se sanirajo,</w:t>
      </w:r>
    </w:p>
    <w:p w14:paraId="378AE00A" w14:textId="53909A72" w:rsidR="00070B03" w:rsidRDefault="00A31435" w:rsidP="00001302">
      <w:pPr>
        <w:pStyle w:val="Odstavekseznama"/>
        <w:numPr>
          <w:ilvl w:val="0"/>
          <w:numId w:val="22"/>
        </w:numPr>
      </w:pPr>
      <w:r>
        <w:t>a</w:t>
      </w:r>
      <w:r w:rsidR="005F120F">
        <w:t>sfalt</w:t>
      </w:r>
      <w:r>
        <w:t xml:space="preserve">ira naj se </w:t>
      </w:r>
      <w:r w:rsidR="005F120F">
        <w:t xml:space="preserve">javna kategorizirana </w:t>
      </w:r>
      <w:r w:rsidR="00070B03">
        <w:t xml:space="preserve">ceste med hišama Vinje 14 in Vinje 17 (pri Kokol, </w:t>
      </w:r>
      <w:hyperlink r:id="rId11" w:history="1">
        <w:r w:rsidR="00070B03" w:rsidRPr="00A31435">
          <w:rPr>
            <w:rStyle w:val="Hiperpovezava"/>
          </w:rPr>
          <w:t>LOKACIJA</w:t>
        </w:r>
      </w:hyperlink>
      <w:r w:rsidR="00070B03">
        <w:t>).</w:t>
      </w:r>
    </w:p>
    <w:p w14:paraId="3E2AED15" w14:textId="2E004710" w:rsidR="005F120F" w:rsidRDefault="00A31435" w:rsidP="00A31435">
      <w:pPr>
        <w:pStyle w:val="Odstavekseznama"/>
        <w:numPr>
          <w:ilvl w:val="0"/>
          <w:numId w:val="22"/>
        </w:numPr>
      </w:pPr>
      <w:r>
        <w:t xml:space="preserve">prenova </w:t>
      </w:r>
      <w:proofErr w:type="spellStart"/>
      <w:r>
        <w:t>m</w:t>
      </w:r>
      <w:r w:rsidR="005F120F">
        <w:t>uld</w:t>
      </w:r>
      <w:r>
        <w:t>e</w:t>
      </w:r>
      <w:proofErr w:type="spellEnd"/>
      <w:r w:rsidR="005F120F">
        <w:t xml:space="preserve"> </w:t>
      </w:r>
      <w:r>
        <w:t>od hiše Vinje 90 do Vinje 52A (</w:t>
      </w:r>
      <w:r w:rsidR="005F120F">
        <w:t>nasproti Velepiča</w:t>
      </w:r>
      <w:r>
        <w:t xml:space="preserve">) - </w:t>
      </w:r>
      <w:hyperlink r:id="rId12" w:history="1">
        <w:r w:rsidRPr="00A31435">
          <w:rPr>
            <w:rStyle w:val="Hiperpovezava"/>
          </w:rPr>
          <w:t>LOKACIJA</w:t>
        </w:r>
      </w:hyperlink>
      <w:r w:rsidR="00F17713">
        <w:rPr>
          <w:rStyle w:val="Hiperpovezava"/>
        </w:rPr>
        <w:t>,</w:t>
      </w:r>
    </w:p>
    <w:p w14:paraId="0FD60AE9" w14:textId="7B65201A" w:rsidR="005F120F" w:rsidRPr="00F17713" w:rsidRDefault="00A31435" w:rsidP="00A31435">
      <w:pPr>
        <w:pStyle w:val="Odstavekseznama"/>
        <w:numPr>
          <w:ilvl w:val="0"/>
          <w:numId w:val="22"/>
        </w:numPr>
        <w:jc w:val="both"/>
        <w:rPr>
          <w:rStyle w:val="Hiperpovezava"/>
          <w:color w:val="auto"/>
          <w:u w:val="none"/>
        </w:rPr>
      </w:pPr>
      <w:r>
        <w:t xml:space="preserve">asfaltiranje </w:t>
      </w:r>
      <w:proofErr w:type="spellStart"/>
      <w:r>
        <w:t>t.i</w:t>
      </w:r>
      <w:proofErr w:type="spellEnd"/>
      <w:r>
        <w:t>. »</w:t>
      </w:r>
      <w:r w:rsidR="005F120F">
        <w:t>S</w:t>
      </w:r>
      <w:r>
        <w:t>«</w:t>
      </w:r>
      <w:r w:rsidR="005F120F">
        <w:t xml:space="preserve"> pri Vodetu</w:t>
      </w:r>
      <w:r>
        <w:t xml:space="preserve"> – med Vinjami 47P do Vinje 32 - </w:t>
      </w:r>
      <w:hyperlink r:id="rId13" w:history="1">
        <w:r w:rsidRPr="00A31435">
          <w:rPr>
            <w:rStyle w:val="Hiperpovezava"/>
          </w:rPr>
          <w:t>LOKACIJA</w:t>
        </w:r>
      </w:hyperlink>
      <w:r w:rsidR="00F17713">
        <w:rPr>
          <w:rStyle w:val="Hiperpovezava"/>
        </w:rPr>
        <w:t>,</w:t>
      </w:r>
    </w:p>
    <w:p w14:paraId="216D3CAD" w14:textId="7516DB3F" w:rsidR="005F120F" w:rsidRDefault="00F17713" w:rsidP="00F17713">
      <w:pPr>
        <w:pStyle w:val="Odstavekseznama"/>
        <w:numPr>
          <w:ilvl w:val="0"/>
          <w:numId w:val="22"/>
        </w:numPr>
      </w:pPr>
      <w:r>
        <w:t>koncesionar je končal dela s čiščenjem kanalov pri hiši Kamnica 52. Naj se z urejanjem kanalov nadaljuje proti Vinjam pred novembrskimi padavinami.</w:t>
      </w:r>
    </w:p>
    <w:p w14:paraId="3C211985" w14:textId="77777777" w:rsidR="00F17713" w:rsidRDefault="00F17713" w:rsidP="00F17713"/>
    <w:p w14:paraId="178AEB05" w14:textId="720F1218" w:rsidR="00070B03" w:rsidRDefault="00070B03" w:rsidP="00070B03">
      <w:r>
        <w:t xml:space="preserve">OPOMBA: </w:t>
      </w:r>
      <w:proofErr w:type="spellStart"/>
      <w:r>
        <w:t>t.i</w:t>
      </w:r>
      <w:proofErr w:type="spellEnd"/>
      <w:r>
        <w:t xml:space="preserve">. »S ovinek« naj se asfaltira na način, da se ovinki razširijo na ustrezne radije, ki omogočajo vožnjo gasilskim vozilom, šolskemu kombiju ter smetarjem. </w:t>
      </w:r>
      <w:r w:rsidRPr="00070B03">
        <w:t>Pravilnik o projektiranju cest</w:t>
      </w:r>
      <w:r>
        <w:t xml:space="preserve"> v 8. členu navaja zunanje obračalne kroge za tovrstna vozila, ki znašajo ca. 9.60 m, kar je prikazano tudi na spodnji sliki.</w:t>
      </w:r>
      <w:r w:rsidR="00F17713">
        <w:t xml:space="preserve"> </w:t>
      </w:r>
      <w:r>
        <w:t xml:space="preserve">Da se doseže ta radij, je ena izmed možnosti, da se obstoječe </w:t>
      </w:r>
      <w:proofErr w:type="spellStart"/>
      <w:r>
        <w:t>kanalete</w:t>
      </w:r>
      <w:proofErr w:type="spellEnd"/>
      <w:r>
        <w:t xml:space="preserve"> na zgornjem delu druge serpentine (smer Vinje – Osredke) odstrani in nadomesti s cevjo.</w:t>
      </w:r>
      <w:r w:rsidR="00F17713">
        <w:t xml:space="preserve"> Tabela je povzeta iz Pravilnika.</w:t>
      </w:r>
    </w:p>
    <w:p w14:paraId="606CD889" w14:textId="4ABBF568" w:rsidR="005C6F47" w:rsidRDefault="005C6F47" w:rsidP="00070B03"/>
    <w:p w14:paraId="27C2775E" w14:textId="06F551B5" w:rsidR="005C6F47" w:rsidRPr="00070B03" w:rsidRDefault="005C6F47" w:rsidP="00070B03">
      <w:r>
        <w:rPr>
          <w:noProof/>
        </w:rPr>
        <w:drawing>
          <wp:inline distT="0" distB="0" distL="0" distR="0" wp14:anchorId="0C4C4374" wp14:editId="629884A6">
            <wp:extent cx="5760720" cy="372237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7A36B" w14:textId="04F9135F" w:rsidR="00070B03" w:rsidRDefault="00070B03" w:rsidP="005F120F">
      <w: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1048"/>
        <w:gridCol w:w="1028"/>
        <w:gridCol w:w="1218"/>
        <w:gridCol w:w="2507"/>
      </w:tblGrid>
      <w:tr w:rsidR="00070B03" w:rsidRPr="00070B03" w14:paraId="1A9DE358" w14:textId="77777777" w:rsidTr="00070B03">
        <w:trPr>
          <w:cantSplit/>
          <w:jc w:val="center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79F7ADC1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lastRenderedPageBreak/>
              <w:t>Merodajna vozila</w:t>
            </w:r>
          </w:p>
        </w:tc>
        <w:tc>
          <w:tcPr>
            <w:tcW w:w="32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2DD1C491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Dimenzije vozila</w:t>
            </w:r>
          </w:p>
          <w:p w14:paraId="636EC777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[m]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2BE70370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Zunanji obračalni krog (radij)</w:t>
            </w:r>
          </w:p>
          <w:p w14:paraId="587BA60B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[m]</w:t>
            </w:r>
          </w:p>
        </w:tc>
      </w:tr>
      <w:tr w:rsidR="00070B03" w:rsidRPr="00070B03" w14:paraId="70EB6E8C" w14:textId="77777777" w:rsidTr="00070B03">
        <w:trPr>
          <w:cantSplit/>
          <w:jc w:val="center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7574C" w14:textId="77777777" w:rsidR="00070B03" w:rsidRPr="00070B03" w:rsidRDefault="00070B03" w:rsidP="00070B03">
            <w:pPr>
              <w:spacing w:after="0"/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1E4CDE85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dolžina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06015AFA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širina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7D0BE74F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višina</w:t>
            </w:r>
          </w:p>
        </w:tc>
        <w:tc>
          <w:tcPr>
            <w:tcW w:w="250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5AE45" w14:textId="77777777" w:rsidR="00070B03" w:rsidRPr="00070B03" w:rsidRDefault="00070B03" w:rsidP="00070B03">
            <w:pPr>
              <w:spacing w:after="0"/>
              <w:jc w:val="center"/>
            </w:pPr>
          </w:p>
        </w:tc>
      </w:tr>
      <w:tr w:rsidR="00070B03" w:rsidRPr="00070B03" w14:paraId="293E1B2B" w14:textId="77777777" w:rsidTr="00070B03">
        <w:trPr>
          <w:cantSplit/>
          <w:jc w:val="center"/>
        </w:trPr>
        <w:tc>
          <w:tcPr>
            <w:tcW w:w="325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469DB64E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dvoosno</w:t>
            </w:r>
          </w:p>
          <w:p w14:paraId="2B67BA02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triosno</w:t>
            </w:r>
          </w:p>
        </w:tc>
        <w:tc>
          <w:tcPr>
            <w:tcW w:w="1048" w:type="dxa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4557B93D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8,50</w:t>
            </w:r>
          </w:p>
          <w:p w14:paraId="516A432F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10,00</w:t>
            </w:r>
          </w:p>
        </w:tc>
        <w:tc>
          <w:tcPr>
            <w:tcW w:w="1028" w:type="dxa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74A03CBC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2,503</w:t>
            </w:r>
          </w:p>
          <w:p w14:paraId="4246F042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2,503</w:t>
            </w:r>
          </w:p>
        </w:tc>
        <w:tc>
          <w:tcPr>
            <w:tcW w:w="1218" w:type="dxa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367BE679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3,002</w:t>
            </w:r>
          </w:p>
          <w:p w14:paraId="4A458945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3,002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68B009AF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9,60</w:t>
            </w:r>
          </w:p>
          <w:p w14:paraId="447074D0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9,80</w:t>
            </w:r>
          </w:p>
        </w:tc>
      </w:tr>
      <w:tr w:rsidR="00070B03" w:rsidRPr="00070B03" w14:paraId="5DCADBF3" w14:textId="77777777" w:rsidTr="00070B03">
        <w:trPr>
          <w:cantSplit/>
          <w:jc w:val="center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1BA9600E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gasilsko vozilo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4BD6BB52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6,80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07DD2883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2,50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4A67D666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2,802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0C98D25C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9,25</w:t>
            </w:r>
          </w:p>
        </w:tc>
      </w:tr>
      <w:tr w:rsidR="00070B03" w:rsidRPr="00070B03" w14:paraId="4D80402F" w14:textId="77777777" w:rsidTr="00070B03">
        <w:trPr>
          <w:cantSplit/>
          <w:jc w:val="center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4A64F2E3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gasilsko vozilo z lestvijo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1DC6C0BD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12,0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6CDCD711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2,50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6F33A128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3,50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14:paraId="2ABA70A5" w14:textId="77777777" w:rsidR="00070B03" w:rsidRPr="00070B03" w:rsidRDefault="00070B03" w:rsidP="00070B03">
            <w:pPr>
              <w:spacing w:after="0"/>
              <w:jc w:val="center"/>
            </w:pPr>
            <w:r w:rsidRPr="00070B03">
              <w:t>10,50</w:t>
            </w:r>
          </w:p>
        </w:tc>
      </w:tr>
    </w:tbl>
    <w:p w14:paraId="2DA8B76A" w14:textId="170AB5B9" w:rsidR="00070B03" w:rsidRDefault="00070B03" w:rsidP="005F120F"/>
    <w:p w14:paraId="10EA3CE5" w14:textId="56188D65" w:rsidR="00070B03" w:rsidRDefault="00070B03" w:rsidP="005F120F"/>
    <w:p w14:paraId="294A4B69" w14:textId="77777777" w:rsidR="00070B03" w:rsidRDefault="00070B03" w:rsidP="005F120F"/>
    <w:p w14:paraId="413F6EB7" w14:textId="77777777" w:rsidR="005F120F" w:rsidRDefault="005F120F" w:rsidP="005F120F">
      <w:r>
        <w:t>Zapisala</w:t>
      </w:r>
    </w:p>
    <w:p w14:paraId="39873175" w14:textId="77777777" w:rsidR="005F120F" w:rsidRPr="00D237CB" w:rsidRDefault="005F120F" w:rsidP="005F120F">
      <w:r>
        <w:t>Nataša Rotar</w:t>
      </w:r>
    </w:p>
    <w:p w14:paraId="5270793D" w14:textId="77777777" w:rsidR="005F120F" w:rsidRDefault="005F120F" w:rsidP="005F120F"/>
    <w:p w14:paraId="76BD7CE1" w14:textId="77777777" w:rsidR="005F120F" w:rsidRDefault="005F120F" w:rsidP="005F120F">
      <w:pPr>
        <w:pStyle w:val="Odstavekseznama"/>
      </w:pPr>
    </w:p>
    <w:p w14:paraId="5E6CC13E" w14:textId="77777777" w:rsidR="005F120F" w:rsidRDefault="005F120F" w:rsidP="005F120F"/>
    <w:p w14:paraId="0E291336" w14:textId="12811A37" w:rsidR="005F120F" w:rsidRDefault="005F120F">
      <w:pPr>
        <w:spacing w:after="200" w:line="276" w:lineRule="auto"/>
      </w:pPr>
    </w:p>
    <w:sectPr w:rsidR="005F120F" w:rsidSect="00EB17BC">
      <w:footerReference w:type="default" r:id="rId15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51F4" w14:textId="77777777" w:rsidR="003C1353" w:rsidRDefault="003C1353" w:rsidP="0089666A">
      <w:pPr>
        <w:spacing w:after="0"/>
      </w:pPr>
      <w:r>
        <w:separator/>
      </w:r>
    </w:p>
  </w:endnote>
  <w:endnote w:type="continuationSeparator" w:id="0">
    <w:p w14:paraId="42882B98" w14:textId="77777777" w:rsidR="003C1353" w:rsidRDefault="003C1353" w:rsidP="00896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B9DB" w14:textId="77777777" w:rsidR="005016C6" w:rsidRPr="00EB17BC" w:rsidRDefault="005016C6" w:rsidP="00EB17BC">
    <w:pPr>
      <w:pStyle w:val="Noga"/>
      <w:pBdr>
        <w:top w:val="single" w:sz="4" w:space="1" w:color="auto"/>
      </w:pBdr>
      <w:jc w:val="center"/>
      <w:rPr>
        <w:sz w:val="20"/>
      </w:rPr>
    </w:pPr>
    <w:r w:rsidRPr="00EB17BC">
      <w:rPr>
        <w:sz w:val="20"/>
      </w:rPr>
      <w:fldChar w:fldCharType="begin"/>
    </w:r>
    <w:r w:rsidRPr="00EB17BC">
      <w:rPr>
        <w:sz w:val="20"/>
      </w:rPr>
      <w:instrText xml:space="preserve"> PAGE   \* MERGEFORMAT </w:instrText>
    </w:r>
    <w:r w:rsidRPr="00EB17BC">
      <w:rPr>
        <w:sz w:val="20"/>
      </w:rPr>
      <w:fldChar w:fldCharType="separate"/>
    </w:r>
    <w:r>
      <w:rPr>
        <w:noProof/>
        <w:sz w:val="20"/>
      </w:rPr>
      <w:t>5</w:t>
    </w:r>
    <w:r w:rsidRPr="00EB17BC">
      <w:rPr>
        <w:sz w:val="20"/>
      </w:rPr>
      <w:fldChar w:fldCharType="end"/>
    </w:r>
    <w:r w:rsidRPr="00EB17BC">
      <w:rPr>
        <w:sz w:val="20"/>
      </w:rPr>
      <w:t>/</w:t>
    </w:r>
    <w:r w:rsidRPr="00EB17BC">
      <w:rPr>
        <w:sz w:val="20"/>
      </w:rPr>
      <w:fldChar w:fldCharType="begin"/>
    </w:r>
    <w:r w:rsidRPr="00EB17BC">
      <w:rPr>
        <w:sz w:val="20"/>
      </w:rPr>
      <w:instrText xml:space="preserve"> NUMPAGES   \* MERGEFORMAT </w:instrText>
    </w:r>
    <w:r w:rsidRPr="00EB17BC">
      <w:rPr>
        <w:sz w:val="20"/>
      </w:rPr>
      <w:fldChar w:fldCharType="separate"/>
    </w:r>
    <w:r>
      <w:rPr>
        <w:noProof/>
        <w:sz w:val="20"/>
      </w:rPr>
      <w:t>5</w:t>
    </w:r>
    <w:r w:rsidRPr="00EB17B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F8A2" w14:textId="77777777" w:rsidR="003C1353" w:rsidRDefault="003C1353" w:rsidP="0089666A">
      <w:pPr>
        <w:spacing w:after="0"/>
      </w:pPr>
      <w:r>
        <w:separator/>
      </w:r>
    </w:p>
  </w:footnote>
  <w:footnote w:type="continuationSeparator" w:id="0">
    <w:p w14:paraId="23ED1FC5" w14:textId="77777777" w:rsidR="003C1353" w:rsidRDefault="003C1353" w:rsidP="008966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71F7"/>
    <w:multiLevelType w:val="hybridMultilevel"/>
    <w:tmpl w:val="7CF425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3826"/>
    <w:multiLevelType w:val="hybridMultilevel"/>
    <w:tmpl w:val="AAC84C12"/>
    <w:lvl w:ilvl="0" w:tplc="B448E062">
      <w:start w:val="1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62EE9"/>
    <w:multiLevelType w:val="hybridMultilevel"/>
    <w:tmpl w:val="0964A0DE"/>
    <w:lvl w:ilvl="0" w:tplc="A9721006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BB95C2F"/>
    <w:multiLevelType w:val="hybridMultilevel"/>
    <w:tmpl w:val="1F660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825A0"/>
    <w:multiLevelType w:val="hybridMultilevel"/>
    <w:tmpl w:val="C5B66A5A"/>
    <w:lvl w:ilvl="0" w:tplc="DFEE3452">
      <w:start w:val="1"/>
      <w:numFmt w:val="decimal"/>
      <w:pStyle w:val="Naslov3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D2410"/>
    <w:multiLevelType w:val="hybridMultilevel"/>
    <w:tmpl w:val="054226F0"/>
    <w:lvl w:ilvl="0" w:tplc="A9EC45FA">
      <w:start w:val="11"/>
      <w:numFmt w:val="bullet"/>
      <w:lvlText w:val=""/>
      <w:lvlJc w:val="left"/>
      <w:pPr>
        <w:ind w:left="405" w:hanging="360"/>
      </w:pPr>
      <w:rPr>
        <w:rFonts w:ascii="Wingdings" w:eastAsiaTheme="minorEastAsia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0C31DF3"/>
    <w:multiLevelType w:val="hybridMultilevel"/>
    <w:tmpl w:val="1F660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020E4"/>
    <w:multiLevelType w:val="hybridMultilevel"/>
    <w:tmpl w:val="095E98A0"/>
    <w:lvl w:ilvl="0" w:tplc="EE5CEA3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C650C"/>
    <w:multiLevelType w:val="hybridMultilevel"/>
    <w:tmpl w:val="68BA3D52"/>
    <w:lvl w:ilvl="0" w:tplc="497A52F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851E3"/>
    <w:multiLevelType w:val="hybridMultilevel"/>
    <w:tmpl w:val="41D29234"/>
    <w:lvl w:ilvl="0" w:tplc="1BBC61E6">
      <w:start w:val="1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B74F9"/>
    <w:multiLevelType w:val="hybridMultilevel"/>
    <w:tmpl w:val="7D186D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775922">
    <w:abstractNumId w:val="3"/>
  </w:num>
  <w:num w:numId="2" w16cid:durableId="519393479">
    <w:abstractNumId w:val="2"/>
  </w:num>
  <w:num w:numId="3" w16cid:durableId="1120876024">
    <w:abstractNumId w:val="4"/>
  </w:num>
  <w:num w:numId="4" w16cid:durableId="1402948627">
    <w:abstractNumId w:val="4"/>
    <w:lvlOverride w:ilvl="0">
      <w:startOverride w:val="1"/>
    </w:lvlOverride>
  </w:num>
  <w:num w:numId="5" w16cid:durableId="1636064023">
    <w:abstractNumId w:val="4"/>
    <w:lvlOverride w:ilvl="0">
      <w:startOverride w:val="1"/>
    </w:lvlOverride>
  </w:num>
  <w:num w:numId="6" w16cid:durableId="2072926539">
    <w:abstractNumId w:val="5"/>
  </w:num>
  <w:num w:numId="7" w16cid:durableId="655112727">
    <w:abstractNumId w:val="4"/>
    <w:lvlOverride w:ilvl="0">
      <w:startOverride w:val="1"/>
    </w:lvlOverride>
  </w:num>
  <w:num w:numId="8" w16cid:durableId="946237523">
    <w:abstractNumId w:val="4"/>
    <w:lvlOverride w:ilvl="0">
      <w:startOverride w:val="1"/>
    </w:lvlOverride>
  </w:num>
  <w:num w:numId="9" w16cid:durableId="882406651">
    <w:abstractNumId w:val="4"/>
  </w:num>
  <w:num w:numId="10" w16cid:durableId="2075422701">
    <w:abstractNumId w:val="4"/>
    <w:lvlOverride w:ilvl="0">
      <w:startOverride w:val="1"/>
    </w:lvlOverride>
  </w:num>
  <w:num w:numId="11" w16cid:durableId="390813437">
    <w:abstractNumId w:val="1"/>
  </w:num>
  <w:num w:numId="12" w16cid:durableId="2117404742">
    <w:abstractNumId w:val="9"/>
  </w:num>
  <w:num w:numId="13" w16cid:durableId="1352488179">
    <w:abstractNumId w:val="4"/>
    <w:lvlOverride w:ilvl="0">
      <w:startOverride w:val="1"/>
    </w:lvlOverride>
  </w:num>
  <w:num w:numId="14" w16cid:durableId="1124231317">
    <w:abstractNumId w:val="4"/>
    <w:lvlOverride w:ilvl="0">
      <w:startOverride w:val="1"/>
    </w:lvlOverride>
  </w:num>
  <w:num w:numId="15" w16cid:durableId="1927687948">
    <w:abstractNumId w:val="4"/>
    <w:lvlOverride w:ilvl="0">
      <w:startOverride w:val="1"/>
    </w:lvlOverride>
  </w:num>
  <w:num w:numId="16" w16cid:durableId="1174077575">
    <w:abstractNumId w:val="4"/>
    <w:lvlOverride w:ilvl="0">
      <w:startOverride w:val="1"/>
    </w:lvlOverride>
  </w:num>
  <w:num w:numId="17" w16cid:durableId="1249002679">
    <w:abstractNumId w:val="8"/>
  </w:num>
  <w:num w:numId="18" w16cid:durableId="787043475">
    <w:abstractNumId w:val="6"/>
  </w:num>
  <w:num w:numId="19" w16cid:durableId="486017070">
    <w:abstractNumId w:val="4"/>
    <w:lvlOverride w:ilvl="0">
      <w:startOverride w:val="1"/>
    </w:lvlOverride>
  </w:num>
  <w:num w:numId="20" w16cid:durableId="1524124310">
    <w:abstractNumId w:val="0"/>
  </w:num>
  <w:num w:numId="21" w16cid:durableId="1921062055">
    <w:abstractNumId w:val="10"/>
  </w:num>
  <w:num w:numId="22" w16cid:durableId="422848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E0"/>
    <w:rsid w:val="000164B0"/>
    <w:rsid w:val="00063F02"/>
    <w:rsid w:val="00070B03"/>
    <w:rsid w:val="000B205A"/>
    <w:rsid w:val="000B33E9"/>
    <w:rsid w:val="000E2B48"/>
    <w:rsid w:val="001A6F19"/>
    <w:rsid w:val="001A7EDF"/>
    <w:rsid w:val="001E10ED"/>
    <w:rsid w:val="00230A46"/>
    <w:rsid w:val="00262B7D"/>
    <w:rsid w:val="00290FE4"/>
    <w:rsid w:val="002C35E6"/>
    <w:rsid w:val="002E14C0"/>
    <w:rsid w:val="002E310A"/>
    <w:rsid w:val="002E4971"/>
    <w:rsid w:val="002E6766"/>
    <w:rsid w:val="00303C40"/>
    <w:rsid w:val="00321588"/>
    <w:rsid w:val="00356B1B"/>
    <w:rsid w:val="00394DAA"/>
    <w:rsid w:val="003A7C3C"/>
    <w:rsid w:val="003C1353"/>
    <w:rsid w:val="00401BB4"/>
    <w:rsid w:val="0040461F"/>
    <w:rsid w:val="00462A94"/>
    <w:rsid w:val="004D6CC4"/>
    <w:rsid w:val="005016C6"/>
    <w:rsid w:val="005575F3"/>
    <w:rsid w:val="0056017D"/>
    <w:rsid w:val="005649D7"/>
    <w:rsid w:val="005739DC"/>
    <w:rsid w:val="00585769"/>
    <w:rsid w:val="005A0E12"/>
    <w:rsid w:val="005C2DB0"/>
    <w:rsid w:val="005C48CE"/>
    <w:rsid w:val="005C6F47"/>
    <w:rsid w:val="005D3E4A"/>
    <w:rsid w:val="005F120F"/>
    <w:rsid w:val="00603E38"/>
    <w:rsid w:val="00664081"/>
    <w:rsid w:val="00682019"/>
    <w:rsid w:val="0069521B"/>
    <w:rsid w:val="006D2A6A"/>
    <w:rsid w:val="007105D4"/>
    <w:rsid w:val="00711EDC"/>
    <w:rsid w:val="007C01A4"/>
    <w:rsid w:val="007D3761"/>
    <w:rsid w:val="007F4C18"/>
    <w:rsid w:val="007F6CE0"/>
    <w:rsid w:val="0080229E"/>
    <w:rsid w:val="00831718"/>
    <w:rsid w:val="008356DF"/>
    <w:rsid w:val="00857D03"/>
    <w:rsid w:val="008709DB"/>
    <w:rsid w:val="0089666A"/>
    <w:rsid w:val="008C1062"/>
    <w:rsid w:val="008C328A"/>
    <w:rsid w:val="008D1B21"/>
    <w:rsid w:val="009144CA"/>
    <w:rsid w:val="00946AB2"/>
    <w:rsid w:val="00991297"/>
    <w:rsid w:val="009C3D10"/>
    <w:rsid w:val="009D3602"/>
    <w:rsid w:val="009E7D55"/>
    <w:rsid w:val="00A12DDD"/>
    <w:rsid w:val="00A20664"/>
    <w:rsid w:val="00A31435"/>
    <w:rsid w:val="00A62C6D"/>
    <w:rsid w:val="00A671AA"/>
    <w:rsid w:val="00AC31B2"/>
    <w:rsid w:val="00AD6C19"/>
    <w:rsid w:val="00B2349B"/>
    <w:rsid w:val="00B32013"/>
    <w:rsid w:val="00B407A0"/>
    <w:rsid w:val="00B43D86"/>
    <w:rsid w:val="00B516B3"/>
    <w:rsid w:val="00B53153"/>
    <w:rsid w:val="00BE179D"/>
    <w:rsid w:val="00BE6B39"/>
    <w:rsid w:val="00C04502"/>
    <w:rsid w:val="00C3776B"/>
    <w:rsid w:val="00CC112B"/>
    <w:rsid w:val="00CD7E8A"/>
    <w:rsid w:val="00D237CB"/>
    <w:rsid w:val="00D956F4"/>
    <w:rsid w:val="00DD5FAB"/>
    <w:rsid w:val="00DF4FD7"/>
    <w:rsid w:val="00E00E9F"/>
    <w:rsid w:val="00E344A1"/>
    <w:rsid w:val="00E50B4B"/>
    <w:rsid w:val="00E61ECC"/>
    <w:rsid w:val="00E73E35"/>
    <w:rsid w:val="00E75A69"/>
    <w:rsid w:val="00EB17BC"/>
    <w:rsid w:val="00ED0BF7"/>
    <w:rsid w:val="00F17713"/>
    <w:rsid w:val="00F21970"/>
    <w:rsid w:val="00F2377B"/>
    <w:rsid w:val="00F958CE"/>
    <w:rsid w:val="00F9714D"/>
    <w:rsid w:val="00FA59A6"/>
    <w:rsid w:val="00FC2ABF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CA9DF"/>
  <w15:docId w15:val="{6C4EDDCD-13AC-4AD1-B739-2BE5BE23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349B"/>
    <w:pPr>
      <w:spacing w:after="60" w:line="240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B53153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244061" w:themeColor="accent1" w:themeShade="80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53153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244061" w:themeColor="accent1" w:themeShade="80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64081"/>
    <w:pPr>
      <w:keepNext/>
      <w:keepLines/>
      <w:numPr>
        <w:numId w:val="3"/>
      </w:numPr>
      <w:spacing w:before="120" w:after="12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F6CE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9666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9666A"/>
  </w:style>
  <w:style w:type="paragraph" w:styleId="Noga">
    <w:name w:val="footer"/>
    <w:basedOn w:val="Navaden"/>
    <w:link w:val="NogaZnak"/>
    <w:uiPriority w:val="99"/>
    <w:unhideWhenUsed/>
    <w:rsid w:val="0089666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89666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66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666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9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B53153"/>
    <w:rPr>
      <w:rFonts w:asciiTheme="majorHAnsi" w:eastAsiaTheme="majorEastAsia" w:hAnsiTheme="majorHAnsi" w:cstheme="majorBidi"/>
      <w:b/>
      <w:color w:val="244061" w:themeColor="accent1" w:themeShade="80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53153"/>
    <w:rPr>
      <w:rFonts w:asciiTheme="majorHAnsi" w:eastAsiaTheme="majorEastAsia" w:hAnsiTheme="majorHAnsi" w:cstheme="majorBidi"/>
      <w:b/>
      <w:color w:val="244061" w:themeColor="accent1" w:themeShade="80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1A7EDF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A7ED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5A0E12"/>
    <w:rPr>
      <w:color w:val="800080" w:themeColor="followed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664081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customStyle="1" w:styleId="odstavek">
    <w:name w:val="odstavek"/>
    <w:basedOn w:val="Navaden"/>
    <w:rsid w:val="00070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maknjenadolobaprvinivo">
    <w:name w:val="zamaknjenadolobaprvinivo"/>
    <w:basedOn w:val="Navaden"/>
    <w:rsid w:val="00070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si/maps/place/46%C2%B007'00.2%22N+14%C2%B040'30.7%22E/@46.1167128,14.6741267,521m/data=!3m2!1e3!4b1!4m6!3m5!1s0x0:0x0!7e2!8m2!3d46.1167113!4d14.6751903?hl=s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si/maps/place/46%C2%B006'14.7%22N+14%C2%B040'17.3%22E/@46.104076,14.6703251,395m/data=!3m2!1e3!4b1!4m6!3m5!1s0x0:0x0!7e2!8m2!3d46.1040743!4d14.6714781?hl=s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si/maps/place/1262+Vinje/@46.1111982,14.6613145,3001m/data=!3m2!1e3!4b1!4m5!3m4!1s0x4765372d272428df:0x2348502b2c5413ca!8m2!3d46.1126776!4d14.670673?hl=s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si/maps/place/1262+Vinje/@46.1111982,14.6613145,3001m/data=!3m2!1e3!4b1!4m5!3m4!1s0x4765372d272428df:0x2348502b2c5413ca!8m2!3d46.1126776!4d14.670673?hl=s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si/maps/place/46%C2%B006'53.9%22N+14%C2%B040'12.0%22E/@46.1149781,14.6687554,424m/data=!3m2!1e3!4b1!4m6!3m5!1s0x0:0x0!7e2!8m2!3d46.1149762!4d14.6699936?hl=s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5810-58DB-4114-86AA-FFE8E6D2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Kristina Mihić</cp:lastModifiedBy>
  <cp:revision>2</cp:revision>
  <cp:lastPrinted>2021-02-03T15:25:00Z</cp:lastPrinted>
  <dcterms:created xsi:type="dcterms:W3CDTF">2022-10-13T11:33:00Z</dcterms:created>
  <dcterms:modified xsi:type="dcterms:W3CDTF">2022-10-13T11:33:00Z</dcterms:modified>
</cp:coreProperties>
</file>